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D9" w:rsidRPr="00886CB6" w:rsidRDefault="00D60B52" w:rsidP="00AC5C4F">
      <w:pPr>
        <w:autoSpaceDE w:val="0"/>
        <w:autoSpaceDN w:val="0"/>
        <w:adjustRightInd w:val="0"/>
        <w:spacing w:after="200" w:line="276" w:lineRule="auto"/>
        <w:contextualSpacing/>
        <w:jc w:val="center"/>
        <w:rPr>
          <w:rFonts w:ascii="Century Gothic" w:eastAsia="Meiryo" w:hAnsi="Century Gothic"/>
          <w:sz w:val="10"/>
          <w:szCs w:val="12"/>
        </w:rPr>
      </w:pPr>
      <w:r w:rsidRPr="00886CB6">
        <w:rPr>
          <w:rFonts w:ascii="Century Gothic" w:eastAsia="Meiryo" w:hAnsi="Century Gothic" w:cs="Aparajita"/>
          <w:b/>
          <w:bCs/>
          <w:sz w:val="10"/>
          <w:szCs w:val="12"/>
          <w:u w:val="single"/>
        </w:rPr>
        <w:t>RESOLUCIÓN No.</w:t>
      </w:r>
      <w:r w:rsidR="00E03CD9" w:rsidRPr="00886CB6">
        <w:rPr>
          <w:rFonts w:ascii="Century Gothic" w:eastAsia="Meiryo" w:hAnsi="Century Gothic" w:cs="Aparajita"/>
          <w:b/>
          <w:bCs/>
          <w:sz w:val="10"/>
          <w:szCs w:val="12"/>
          <w:u w:val="single"/>
        </w:rPr>
        <w:t>-</w:t>
      </w:r>
      <w:r w:rsidR="00B50EE2">
        <w:rPr>
          <w:rFonts w:ascii="Century Gothic" w:eastAsia="Meiryo" w:hAnsi="Century Gothic" w:cs="Aparajita"/>
          <w:b/>
          <w:bCs/>
          <w:sz w:val="10"/>
          <w:szCs w:val="12"/>
          <w:u w:val="single"/>
        </w:rPr>
        <w:t>9</w:t>
      </w:r>
      <w:r w:rsidR="00453C19">
        <w:rPr>
          <w:rFonts w:ascii="Century Gothic" w:eastAsia="Meiryo" w:hAnsi="Century Gothic" w:cs="Aparajita"/>
          <w:b/>
          <w:bCs/>
          <w:sz w:val="10"/>
          <w:szCs w:val="12"/>
          <w:u w:val="single"/>
        </w:rPr>
        <w:t>95</w:t>
      </w:r>
      <w:r w:rsidR="0045514B" w:rsidRPr="00886CB6">
        <w:rPr>
          <w:rFonts w:ascii="Century Gothic" w:eastAsia="Meiryo" w:hAnsi="Century Gothic" w:cs="Aparajita"/>
          <w:b/>
          <w:bCs/>
          <w:sz w:val="10"/>
          <w:szCs w:val="12"/>
          <w:u w:val="single"/>
        </w:rPr>
        <w:t>-</w:t>
      </w:r>
      <w:r w:rsidR="00E03CD9" w:rsidRPr="00886CB6">
        <w:rPr>
          <w:rFonts w:ascii="Century Gothic" w:eastAsia="Meiryo" w:hAnsi="Century Gothic" w:cs="Aparajita"/>
          <w:b/>
          <w:bCs/>
          <w:sz w:val="10"/>
          <w:szCs w:val="12"/>
          <w:u w:val="single"/>
        </w:rPr>
        <w:t>RADFI</w:t>
      </w:r>
      <w:r w:rsidR="00E03CD9" w:rsidRPr="00886CB6">
        <w:rPr>
          <w:rFonts w:ascii="Century Gothic" w:hAnsi="Century Gothic"/>
          <w:b/>
          <w:sz w:val="10"/>
          <w:szCs w:val="12"/>
          <w:u w:val="single"/>
        </w:rPr>
        <w:t>-</w:t>
      </w:r>
      <w:r w:rsidR="00453C19">
        <w:rPr>
          <w:rFonts w:ascii="Century Gothic" w:hAnsi="Century Gothic"/>
          <w:b/>
          <w:sz w:val="10"/>
          <w:szCs w:val="12"/>
          <w:u w:val="single"/>
        </w:rPr>
        <w:t>17</w:t>
      </w:r>
      <w:r w:rsidR="00E03CD9" w:rsidRPr="00886CB6">
        <w:rPr>
          <w:rFonts w:ascii="Century Gothic" w:hAnsi="Century Gothic"/>
          <w:b/>
          <w:sz w:val="10"/>
          <w:szCs w:val="12"/>
          <w:u w:val="single"/>
        </w:rPr>
        <w:t>-</w:t>
      </w:r>
      <w:r w:rsidR="00B50EE2">
        <w:rPr>
          <w:rFonts w:ascii="Century Gothic" w:hAnsi="Century Gothic"/>
          <w:b/>
          <w:sz w:val="10"/>
          <w:szCs w:val="12"/>
          <w:u w:val="single"/>
        </w:rPr>
        <w:t>12</w:t>
      </w:r>
      <w:r w:rsidR="00E03CD9" w:rsidRPr="00886CB6">
        <w:rPr>
          <w:rFonts w:ascii="Century Gothic" w:hAnsi="Century Gothic"/>
          <w:b/>
          <w:sz w:val="10"/>
          <w:szCs w:val="12"/>
          <w:u w:val="single"/>
        </w:rPr>
        <w:t>-2020</w:t>
      </w:r>
    </w:p>
    <w:p w:rsidR="00E03CD9" w:rsidRPr="00886CB6" w:rsidRDefault="00E03CD9" w:rsidP="00E03CD9">
      <w:pPr>
        <w:rPr>
          <w:rFonts w:ascii="Century Gothic" w:eastAsia="Meiryo" w:hAnsi="Century Gothic"/>
          <w:color w:val="FF0000"/>
          <w:sz w:val="10"/>
          <w:szCs w:val="12"/>
        </w:rPr>
      </w:pPr>
    </w:p>
    <w:p w:rsidR="00E03CD9" w:rsidRPr="00886CB6" w:rsidRDefault="00E03CD9" w:rsidP="00E03CD9">
      <w:pPr>
        <w:contextualSpacing/>
        <w:jc w:val="center"/>
        <w:rPr>
          <w:rFonts w:ascii="Century Gothic" w:eastAsia="Calibri" w:hAnsi="Century Gothic"/>
          <w:b/>
          <w:i/>
          <w:sz w:val="10"/>
          <w:szCs w:val="12"/>
          <w:lang w:val="es-EC"/>
        </w:rPr>
      </w:pPr>
      <w:r w:rsidRPr="00886CB6">
        <w:rPr>
          <w:rFonts w:ascii="Century Gothic" w:eastAsia="Calibri" w:hAnsi="Century Gothic"/>
          <w:b/>
          <w:sz w:val="10"/>
          <w:szCs w:val="12"/>
          <w:lang w:val="es-EC"/>
        </w:rPr>
        <w:t>Ing. Edison Patricio Villacrés Cevallos, PhD.</w:t>
      </w:r>
    </w:p>
    <w:p w:rsidR="00E03CD9" w:rsidRPr="00886CB6" w:rsidRDefault="00E03CD9" w:rsidP="00E03CD9">
      <w:pPr>
        <w:pStyle w:val="Lista"/>
        <w:ind w:left="0" w:firstLine="0"/>
        <w:jc w:val="center"/>
        <w:rPr>
          <w:rFonts w:ascii="Century Gothic" w:eastAsia="Calibri" w:hAnsi="Century Gothic"/>
          <w:b/>
          <w:i w:val="0"/>
          <w:sz w:val="10"/>
          <w:szCs w:val="12"/>
          <w:lang w:val="es-EC" w:eastAsia="en-US"/>
        </w:rPr>
      </w:pPr>
      <w:r w:rsidRPr="00886CB6">
        <w:rPr>
          <w:rFonts w:ascii="Century Gothic" w:eastAsia="Calibri" w:hAnsi="Century Gothic"/>
          <w:b/>
          <w:i w:val="0"/>
          <w:sz w:val="10"/>
          <w:szCs w:val="12"/>
          <w:lang w:val="es-EC" w:eastAsia="en-US"/>
        </w:rPr>
        <w:t>DECANO DE LA FACULTAD DE INGENIERÍA</w:t>
      </w:r>
    </w:p>
    <w:p w:rsidR="00E03CD9" w:rsidRPr="00886CB6" w:rsidRDefault="00E03CD9" w:rsidP="00E03CD9">
      <w:pPr>
        <w:pStyle w:val="Lista"/>
        <w:ind w:left="0" w:firstLine="0"/>
        <w:jc w:val="center"/>
        <w:rPr>
          <w:rFonts w:ascii="Century Gothic" w:eastAsia="Meiryo" w:hAnsi="Century Gothic" w:cstheme="minorHAnsi"/>
          <w:i w:val="0"/>
          <w:sz w:val="10"/>
          <w:szCs w:val="12"/>
        </w:rPr>
      </w:pPr>
    </w:p>
    <w:p w:rsidR="00E977B3" w:rsidRPr="00886CB6" w:rsidRDefault="00E977B3" w:rsidP="00E977B3">
      <w:pPr>
        <w:autoSpaceDE w:val="0"/>
        <w:autoSpaceDN w:val="0"/>
        <w:adjustRightInd w:val="0"/>
        <w:spacing w:after="200" w:line="276" w:lineRule="auto"/>
        <w:jc w:val="center"/>
        <w:rPr>
          <w:rFonts w:ascii="Century Gothic" w:eastAsia="Meiryo" w:hAnsi="Century Gothic" w:cs="Aparajita"/>
          <w:b/>
          <w:bCs/>
          <w:i/>
          <w:sz w:val="10"/>
          <w:szCs w:val="12"/>
        </w:rPr>
      </w:pPr>
      <w:r w:rsidRPr="00886CB6">
        <w:rPr>
          <w:rFonts w:ascii="Century Gothic" w:eastAsia="Meiryo" w:hAnsi="Century Gothic" w:cs="Aparajita"/>
          <w:b/>
          <w:bCs/>
          <w:sz w:val="10"/>
          <w:szCs w:val="12"/>
        </w:rPr>
        <w:t>CONSIDERÁNDO:</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la Constitución de la República consagra que es obligación del Estado proteger a las personas, las colectividades y la naturaleza frente a los efectos negativos de los desastres de origen natural o antrópico mediante la prevención ante el riesgo, la mitigación de desastres, la recuperación y el mejoramiento de las condiciones sociales, económicas y ambientales con el objetivo de minimizar la condición de vulnerabilidad;</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la Norma Suprema en el artículo 355 estipula que el Estado reconocerá a las universidades y escuelas politécnicas, autonomía académica, administrativa, financiera y orgánica, acorde con los objetivos del régimen de desarrollo y los principios establecidos en la Constitución;</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Acuerdo Ministerial No. 00126-2020, de fecha 11 de marzo de 2020, el Ministerio de Salud Pública declara el Estado de Emergencia Sanitaria en todo el país (…) por la inminente posibilidad del efecto provocado por el coronavirus (COVID-19), y prevenir un posible contagio masivo en la población;</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Acuerdo Interministerial No. 00000001, de fecha 12 de marzo de 2020, el Ministerio de Gobierno y el Ministerio de Relaciones Exteriores y Movilidad Humana, dispusieron medidas de prevención para evitar la propagación del coronavirus (COVID-19);</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artículo 34 del Estatuto Institucional, estipula que el Consejo Universitario es el órgano colegiado superior y se constituye en la máxima instancia de gobierno de la Universidad Nacional de Chimborazo en el marco de los principios de autonomía y cogobierno.</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es necesario generar medidas adicionales de prevención a fin de que los servidores y estudiantes universitarios, puedan cumplir sus actividades utilizando mecanismos que salvaguarden el derecho supremo a la salud y a la vida;</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Resolución No. 0073-CU-16-03-2020, el Consejo Universitario resolvió, disponer la suspensión de las actividades laborales de la Universidad Nacional de Chimborazo, por el lapso comprendido del 17 al 23 de marzo de 2020; a partir de lo cual, se adoptarán las resoluciones que correspondan, en virtud de los hechos y decisiones de las instancias del Gobierno Nacional y del Sistema de Educación Superior, frente al curso que tomen los acontecimientos que ocasionaron la emergencia sanitaria del país.</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Comité Nacional de Operaciones de Emergencia (COE), ha dispuesto la ampliación de la suspensión total de la jornada presencial de trabajo en el país, hasta el próximo 31 de marzo de 2020.</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Consejo de Educación Superior, mediante la Resolución RPC-SE-No.426-2020, expidió la NORMATIVA TRANSITORIA PARA EL DESARROLLO DE ACTIVIDADES ACADÉMICAS EN LAS INSTITUCIONES DE EDUCACIÓN SUPERIOR, DEBIDO AL ESTADO DE EXCEPCIÓN DECRETADO POR LA EMERGENCIA SANITARIA OCASIONADA POR LA PANDEMIA DE COVID 19;</w:t>
      </w:r>
    </w:p>
    <w:p w:rsidR="00886CB6" w:rsidRPr="00886CB6"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 xml:space="preserve">Que, el artículo </w:t>
      </w:r>
      <w:r w:rsidR="0075679C">
        <w:rPr>
          <w:rFonts w:ascii="Century Gothic" w:eastAsia="Meiryo" w:hAnsi="Century Gothic" w:cs="Aparajita"/>
          <w:bCs/>
          <w:sz w:val="10"/>
          <w:szCs w:val="12"/>
          <w:lang w:val="es-ES"/>
        </w:rPr>
        <w:t>145 del Estatuto determina que d</w:t>
      </w:r>
      <w:r w:rsidRPr="00886CB6">
        <w:rPr>
          <w:rFonts w:ascii="Century Gothic" w:eastAsia="Meiryo" w:hAnsi="Century Gothic" w:cs="Aparajita"/>
          <w:bCs/>
          <w:sz w:val="10"/>
          <w:szCs w:val="12"/>
          <w:lang w:val="es-ES"/>
        </w:rPr>
        <w:t xml:space="preserve">el </w:t>
      </w:r>
      <w:r w:rsidR="0075679C" w:rsidRPr="00886CB6">
        <w:rPr>
          <w:rFonts w:ascii="Century Gothic" w:eastAsia="Meiryo" w:hAnsi="Century Gothic" w:cs="Aparajita"/>
          <w:bCs/>
          <w:sz w:val="10"/>
          <w:szCs w:val="12"/>
          <w:lang w:val="es-ES"/>
        </w:rPr>
        <w:t>Decanato. -</w:t>
      </w:r>
      <w:r w:rsidRPr="00886CB6">
        <w:rPr>
          <w:rFonts w:ascii="Century Gothic" w:eastAsia="Meiryo" w:hAnsi="Century Gothic" w:cs="Aparajita"/>
          <w:bCs/>
          <w:sz w:val="10"/>
          <w:szCs w:val="12"/>
          <w:lang w:val="es-ES"/>
        </w:rPr>
        <w:t xml:space="preserve"> Es la unidad orgánica responsable del proceso de gestión estratégica a nivel de facultad.</w:t>
      </w:r>
    </w:p>
    <w:p w:rsidR="00886CB6" w:rsidRPr="00886CB6"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artículo 146 del Estatuto determina que son deberes y atribuciones del Decanato: (…) 2. Dirigir, dar seguimiento y evaluar el proceso de gestión estratégica a nivel de Facultad; y, los demás que se establecieran bajo su responsabilidad; 16. Resolver las solicitudes de personal académico, administrativo y estudiantes que no sean competencia expresa de órganos de mayor jerarquía º(…);</w:t>
      </w:r>
    </w:p>
    <w:p w:rsidR="00596EB5" w:rsidRPr="00875CF6" w:rsidRDefault="00596EB5" w:rsidP="00875CF6">
      <w:pPr>
        <w:numPr>
          <w:ilvl w:val="0"/>
          <w:numId w:val="5"/>
        </w:numPr>
        <w:autoSpaceDE w:val="0"/>
        <w:autoSpaceDN w:val="0"/>
        <w:adjustRightInd w:val="0"/>
        <w:spacing w:after="200" w:line="276" w:lineRule="auto"/>
        <w:contextualSpacing/>
        <w:jc w:val="both"/>
        <w:rPr>
          <w:rFonts w:ascii="Century Gothic" w:eastAsia="Meiryo" w:hAnsi="Century Gothic" w:cs="Aparajita"/>
          <w:b/>
          <w:bCs/>
          <w:sz w:val="10"/>
          <w:szCs w:val="12"/>
        </w:rPr>
      </w:pPr>
      <w:r w:rsidRPr="00886CB6">
        <w:rPr>
          <w:rFonts w:ascii="Century Gothic" w:eastAsia="Meiryo" w:hAnsi="Century Gothic" w:cs="Aparajita"/>
          <w:bCs/>
          <w:sz w:val="10"/>
          <w:szCs w:val="12"/>
          <w:lang w:val="es-ES"/>
        </w:rPr>
        <w:t>Que mediante oficio</w:t>
      </w:r>
      <w:r w:rsidR="0075679C">
        <w:rPr>
          <w:rFonts w:ascii="Century Gothic" w:eastAsia="Meiryo" w:hAnsi="Century Gothic" w:cs="Aparajita"/>
          <w:bCs/>
          <w:sz w:val="10"/>
          <w:szCs w:val="12"/>
          <w:lang w:val="es-ES"/>
        </w:rPr>
        <w:t xml:space="preserve"> S/N</w:t>
      </w:r>
      <w:r w:rsidRPr="00886CB6">
        <w:rPr>
          <w:rFonts w:ascii="Century Gothic" w:eastAsia="Meiryo" w:hAnsi="Century Gothic" w:cs="Aparajita"/>
          <w:bCs/>
          <w:sz w:val="10"/>
          <w:szCs w:val="12"/>
          <w:lang w:val="es-ES"/>
        </w:rPr>
        <w:t xml:space="preserve"> de fecha </w:t>
      </w:r>
      <w:r w:rsidR="00FB18E5">
        <w:rPr>
          <w:rFonts w:ascii="Century Gothic" w:eastAsia="Meiryo" w:hAnsi="Century Gothic" w:cs="Aparajita"/>
          <w:bCs/>
          <w:sz w:val="10"/>
          <w:szCs w:val="12"/>
          <w:lang w:val="es-ES"/>
        </w:rPr>
        <w:t>16</w:t>
      </w:r>
      <w:r w:rsidRPr="00886CB6">
        <w:rPr>
          <w:rFonts w:ascii="Century Gothic" w:eastAsia="Meiryo" w:hAnsi="Century Gothic" w:cs="Aparajita"/>
          <w:bCs/>
          <w:sz w:val="10"/>
          <w:szCs w:val="12"/>
          <w:lang w:val="es-ES"/>
        </w:rPr>
        <w:t xml:space="preserve"> de </w:t>
      </w:r>
      <w:r w:rsidR="00875CF6">
        <w:rPr>
          <w:rFonts w:ascii="Century Gothic" w:eastAsia="Meiryo" w:hAnsi="Century Gothic" w:cs="Aparajita"/>
          <w:bCs/>
          <w:sz w:val="10"/>
          <w:szCs w:val="12"/>
          <w:lang w:val="es-ES"/>
        </w:rPr>
        <w:t>diciembre</w:t>
      </w:r>
      <w:r w:rsidRPr="00886CB6">
        <w:rPr>
          <w:rFonts w:ascii="Century Gothic" w:eastAsia="Meiryo" w:hAnsi="Century Gothic" w:cs="Aparajita"/>
          <w:bCs/>
          <w:sz w:val="10"/>
          <w:szCs w:val="12"/>
          <w:lang w:val="es-ES"/>
        </w:rPr>
        <w:t xml:space="preserve"> de 2020, </w:t>
      </w:r>
      <w:r w:rsidR="00875CF6">
        <w:rPr>
          <w:rFonts w:ascii="Century Gothic" w:eastAsia="Meiryo" w:hAnsi="Century Gothic" w:cs="Aparajita"/>
          <w:bCs/>
          <w:sz w:val="10"/>
          <w:szCs w:val="12"/>
          <w:lang w:val="es-ES"/>
        </w:rPr>
        <w:t>al Dr. Víctor García</w:t>
      </w:r>
      <w:r w:rsidR="00102668">
        <w:rPr>
          <w:rFonts w:ascii="Century Gothic" w:eastAsia="Meiryo" w:hAnsi="Century Gothic" w:cs="Aparajita"/>
          <w:bCs/>
          <w:sz w:val="10"/>
          <w:szCs w:val="12"/>
          <w:lang w:val="es-ES"/>
        </w:rPr>
        <w:t>,</w:t>
      </w:r>
      <w:r w:rsidR="0045004E">
        <w:rPr>
          <w:rFonts w:ascii="Century Gothic" w:eastAsia="Meiryo" w:hAnsi="Century Gothic" w:cs="Aparajita"/>
          <w:bCs/>
          <w:sz w:val="10"/>
          <w:szCs w:val="12"/>
          <w:lang w:val="es-ES"/>
        </w:rPr>
        <w:t xml:space="preserve"> </w:t>
      </w:r>
      <w:r w:rsidR="0075679C">
        <w:rPr>
          <w:rFonts w:ascii="Century Gothic" w:eastAsia="Meiryo" w:hAnsi="Century Gothic" w:cs="Aparajita"/>
          <w:bCs/>
          <w:sz w:val="10"/>
          <w:szCs w:val="12"/>
          <w:lang w:val="es-ES"/>
        </w:rPr>
        <w:t>Tutor del Proyecto de Investigación</w:t>
      </w:r>
      <w:r w:rsidR="00A40EA2" w:rsidRPr="00886CB6">
        <w:rPr>
          <w:rFonts w:ascii="Century Gothic" w:eastAsia="Meiryo" w:hAnsi="Century Gothic" w:cs="Aparajita"/>
          <w:bCs/>
          <w:sz w:val="10"/>
          <w:szCs w:val="12"/>
          <w:lang w:val="es-ES"/>
        </w:rPr>
        <w:t xml:space="preserve">, solicita se autorice </w:t>
      </w:r>
      <w:r w:rsidRPr="00886CB6">
        <w:rPr>
          <w:rFonts w:ascii="Century Gothic" w:eastAsia="Meiryo" w:hAnsi="Century Gothic" w:cs="Aparajita"/>
          <w:bCs/>
          <w:sz w:val="10"/>
          <w:szCs w:val="12"/>
          <w:lang w:val="es-ES"/>
        </w:rPr>
        <w:t>que el Proyecto de Investigación previo a la obtención del Título de</w:t>
      </w:r>
      <w:r w:rsidR="0075679C">
        <w:rPr>
          <w:rFonts w:ascii="Century Gothic" w:eastAsia="Meiryo" w:hAnsi="Century Gothic" w:cs="Aparajita"/>
          <w:bCs/>
          <w:sz w:val="10"/>
          <w:szCs w:val="12"/>
          <w:lang w:val="es-ES"/>
        </w:rPr>
        <w:t xml:space="preserve"> Ingeniero </w:t>
      </w:r>
      <w:r w:rsidR="00AD1DC6">
        <w:rPr>
          <w:rFonts w:ascii="Century Gothic" w:eastAsia="Meiryo" w:hAnsi="Century Gothic" w:cs="Aparajita"/>
          <w:bCs/>
          <w:sz w:val="10"/>
          <w:szCs w:val="12"/>
          <w:lang w:val="es-ES"/>
        </w:rPr>
        <w:t>Civil</w:t>
      </w:r>
      <w:r w:rsidR="00A40EA2" w:rsidRPr="00886CB6">
        <w:rPr>
          <w:rFonts w:ascii="Century Gothic" w:eastAsia="Meiryo" w:hAnsi="Century Gothic" w:cs="Aparajita"/>
          <w:bCs/>
          <w:sz w:val="10"/>
          <w:szCs w:val="12"/>
          <w:lang w:val="es-ES"/>
        </w:rPr>
        <w:t xml:space="preserve"> de</w:t>
      </w:r>
      <w:r w:rsidR="00DF3B4E">
        <w:rPr>
          <w:rFonts w:ascii="Century Gothic" w:eastAsia="Meiryo" w:hAnsi="Century Gothic" w:cs="Aparajita"/>
          <w:bCs/>
          <w:sz w:val="10"/>
          <w:szCs w:val="12"/>
          <w:lang w:val="es-ES"/>
        </w:rPr>
        <w:t xml:space="preserve">l Sr. </w:t>
      </w:r>
      <w:r w:rsidR="00FB18E5" w:rsidRPr="00FB18E5">
        <w:rPr>
          <w:rFonts w:ascii="Century Gothic" w:eastAsia="Meiryo" w:hAnsi="Century Gothic" w:cs="Aparajita"/>
          <w:bCs/>
          <w:sz w:val="10"/>
          <w:szCs w:val="12"/>
        </w:rPr>
        <w:t>Mathews Alexander Montaño Vásquez</w:t>
      </w:r>
      <w:r w:rsidR="00A40EA2" w:rsidRPr="0075679C">
        <w:rPr>
          <w:rFonts w:ascii="Century Gothic" w:eastAsia="Meiryo" w:hAnsi="Century Gothic" w:cs="Aparajita"/>
          <w:bCs/>
          <w:sz w:val="10"/>
          <w:szCs w:val="12"/>
          <w:lang w:val="es-ES"/>
        </w:rPr>
        <w:t>,</w:t>
      </w:r>
      <w:r w:rsidR="00A40EA2" w:rsidRPr="00886CB6">
        <w:rPr>
          <w:rFonts w:ascii="Century Gothic" w:eastAsia="Meiryo" w:hAnsi="Century Gothic" w:cs="Aparajita"/>
          <w:bCs/>
          <w:sz w:val="10"/>
          <w:szCs w:val="12"/>
          <w:lang w:val="es-ES"/>
        </w:rPr>
        <w:t xml:space="preserve"> con el nombre</w:t>
      </w:r>
      <w:r w:rsidR="00192061">
        <w:rPr>
          <w:rFonts w:ascii="Century Gothic" w:eastAsia="Meiryo" w:hAnsi="Century Gothic" w:cs="Aparajita"/>
          <w:bCs/>
          <w:sz w:val="10"/>
          <w:szCs w:val="12"/>
          <w:lang w:val="es-ES"/>
        </w:rPr>
        <w:t xml:space="preserve"> </w:t>
      </w:r>
      <w:r w:rsidR="00C22125" w:rsidRPr="00C22125">
        <w:rPr>
          <w:rFonts w:ascii="Century Gothic" w:eastAsia="Meiryo" w:hAnsi="Century Gothic" w:cs="Aparajita"/>
          <w:b/>
          <w:bCs/>
          <w:sz w:val="10"/>
          <w:szCs w:val="12"/>
        </w:rPr>
        <w:t>“</w:t>
      </w:r>
      <w:r w:rsidR="00FB18E5" w:rsidRPr="00FB18E5">
        <w:rPr>
          <w:rFonts w:ascii="Century Gothic" w:eastAsia="Meiryo" w:hAnsi="Century Gothic" w:cs="Aparajita"/>
          <w:b/>
          <w:bCs/>
          <w:sz w:val="10"/>
          <w:szCs w:val="12"/>
        </w:rPr>
        <w:t>MODELADO Y SISTEMA EQUIVALENTE DE UN AMORTIGUADOR LIQUIDO SINTONIZADO PARA LA MITIGACIÓN DE LOS EFECTOS DE LAS EVENTUALDIADES SISMICAS</w:t>
      </w:r>
      <w:r w:rsidR="00DD3F2C" w:rsidRPr="00875CF6">
        <w:rPr>
          <w:rFonts w:ascii="Century Gothic" w:eastAsia="Meiryo" w:hAnsi="Century Gothic" w:cs="Aparajita"/>
          <w:b/>
          <w:bCs/>
          <w:sz w:val="10"/>
          <w:szCs w:val="12"/>
          <w:lang w:val="es-ES"/>
        </w:rPr>
        <w:t>”</w:t>
      </w:r>
      <w:r w:rsidR="00A40EA2" w:rsidRPr="00875CF6">
        <w:rPr>
          <w:rFonts w:ascii="Century Gothic" w:eastAsia="Meiryo" w:hAnsi="Century Gothic" w:cs="Aparajita"/>
          <w:bCs/>
          <w:sz w:val="10"/>
          <w:szCs w:val="12"/>
          <w:lang w:val="es-ES"/>
        </w:rPr>
        <w:t xml:space="preserve">, </w:t>
      </w:r>
      <w:r w:rsidR="00DD3F2C" w:rsidRPr="00875CF6">
        <w:rPr>
          <w:rFonts w:ascii="Century Gothic" w:eastAsia="Meiryo" w:hAnsi="Century Gothic" w:cs="Aparajita"/>
          <w:bCs/>
          <w:sz w:val="10"/>
          <w:szCs w:val="12"/>
          <w:lang w:val="es-ES"/>
        </w:rPr>
        <w:t>no sea publicado en la plataforma de registro de SENESCYT , únicamente sea publicado su resumen, debido a que al encontrarse en las líneas de investigación de la carrera y a la relevancia de la investigación se encuentra dicho proyecto en proceso de publicación.</w:t>
      </w:r>
    </w:p>
    <w:p w:rsidR="00814190" w:rsidRPr="00886CB6" w:rsidRDefault="00814190"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rPr>
        <w:t>REFORMA DE LA RESOLUCIÓN No. 0285-HCU-21-12-2017: RESOLUCIÓN No. 0399-CU-09-12-2019: REGISTRO EN EL SNIESE DEL PROYECTO DE GRADUACIÓN, MIENTRAS SE EXPIDE LA PATENTE DE PROTECCIÓN DEL PRODUCTO DE LA INVESTIGACIÓN TECNOLÓGICA, EN LOS PROCESOS DE TITULACIÓN ESTUDIANTIL</w:t>
      </w:r>
      <w:r w:rsidR="00596EB5" w:rsidRPr="00886CB6">
        <w:rPr>
          <w:rFonts w:ascii="Century Gothic" w:eastAsia="Meiryo" w:hAnsi="Century Gothic" w:cs="Aparajita"/>
          <w:bCs/>
          <w:sz w:val="10"/>
          <w:szCs w:val="12"/>
        </w:rPr>
        <w:t>, en su parte pertinente, señala”(…) RESUELVE: acoge el pedido presentado; y, por consiguiente autorizar y disponer la reforma de la Resolución Nº0285-HCU-21-12-2017, la misma que contendrá el texto, siguiente:</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 xml:space="preserve">Con fundamento en lo expresado, el Consejo Universitario con sujeción a lo determinado por el artículo 35 del Estatuto, resuelve autorizar que para este tipo de casos, en los procesos de graduación y titulación, se 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 </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Para acceder al procedimiento que se determina, los estudiantes deberán presentar la solicitud oportuna y los documentos justificativos pertinentes; en virtud de lo cual y contando con la autorización respectiva, podrán ser beneficiarios de lo contemplado en la presente resolución.</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 xml:space="preserve">Por consiguiente, cumplido el proceso señalado en el inciso anterior, se atenderán los trámites relacionados con la graduación y titulación del estudiante; y, se expedirá el título pertinente. </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rPr>
        <w:t>El control respectivo, lo ejercerán las instancias que correspondan de la Facultad y de la Biblioteca Institucional.</w:t>
      </w:r>
    </w:p>
    <w:p w:rsidR="0045514B" w:rsidRPr="00886CB6" w:rsidRDefault="0045514B" w:rsidP="0045514B">
      <w:pPr>
        <w:autoSpaceDE w:val="0"/>
        <w:autoSpaceDN w:val="0"/>
        <w:adjustRightInd w:val="0"/>
        <w:ind w:right="1"/>
        <w:jc w:val="both"/>
        <w:rPr>
          <w:rFonts w:ascii="Century Gothic" w:hAnsi="Century Gothic" w:cs="Century Gothic"/>
          <w:noProof/>
          <w:sz w:val="10"/>
          <w:szCs w:val="12"/>
        </w:rPr>
      </w:pPr>
    </w:p>
    <w:p w:rsidR="00886CB6" w:rsidRPr="00886CB6" w:rsidRDefault="00886CB6" w:rsidP="00886CB6">
      <w:pPr>
        <w:autoSpaceDE w:val="0"/>
        <w:autoSpaceDN w:val="0"/>
        <w:adjustRightInd w:val="0"/>
        <w:ind w:right="1"/>
        <w:jc w:val="center"/>
        <w:rPr>
          <w:rFonts w:ascii="Century Gothic" w:hAnsi="Century Gothic" w:cs="Century Gothic"/>
          <w:noProof/>
          <w:sz w:val="10"/>
          <w:szCs w:val="12"/>
        </w:rPr>
      </w:pPr>
    </w:p>
    <w:p w:rsidR="00886CB6" w:rsidRPr="00886CB6" w:rsidRDefault="00886CB6" w:rsidP="00886CB6">
      <w:pPr>
        <w:autoSpaceDE w:val="0"/>
        <w:autoSpaceDN w:val="0"/>
        <w:adjustRightInd w:val="0"/>
        <w:ind w:right="1"/>
        <w:jc w:val="center"/>
        <w:rPr>
          <w:rFonts w:ascii="Century Gothic" w:hAnsi="Century Gothic" w:cs="Century Gothic"/>
          <w:noProof/>
          <w:sz w:val="10"/>
          <w:szCs w:val="12"/>
        </w:rPr>
      </w:pPr>
    </w:p>
    <w:p w:rsidR="0045514B" w:rsidRPr="00886CB6" w:rsidRDefault="0045514B" w:rsidP="00886CB6">
      <w:pPr>
        <w:autoSpaceDE w:val="0"/>
        <w:autoSpaceDN w:val="0"/>
        <w:adjustRightInd w:val="0"/>
        <w:ind w:right="1"/>
        <w:jc w:val="center"/>
        <w:rPr>
          <w:rFonts w:ascii="Century Gothic" w:hAnsi="Century Gothic" w:cs="Century Gothic"/>
          <w:i/>
          <w:noProof/>
          <w:sz w:val="10"/>
          <w:szCs w:val="12"/>
        </w:rPr>
      </w:pPr>
      <w:r w:rsidRPr="00886CB6">
        <w:rPr>
          <w:rFonts w:ascii="Century Gothic" w:hAnsi="Century Gothic" w:cs="Century Gothic"/>
          <w:noProof/>
          <w:sz w:val="10"/>
          <w:szCs w:val="12"/>
        </w:rPr>
        <w:t>Por lo expresado, de conformidad con las normativas enunciadas y en uso de las atribuciones determinadas en el artículo 146 del Estatuto Universitario, vigente;</w:t>
      </w:r>
    </w:p>
    <w:p w:rsidR="0045514B" w:rsidRPr="00886CB6" w:rsidRDefault="0045514B" w:rsidP="0045514B">
      <w:pPr>
        <w:autoSpaceDE w:val="0"/>
        <w:autoSpaceDN w:val="0"/>
        <w:adjustRightInd w:val="0"/>
        <w:jc w:val="center"/>
        <w:rPr>
          <w:rFonts w:ascii="Century Gothic" w:hAnsi="Century Gothic" w:cs="Century Gothic"/>
          <w:b/>
          <w:bCs/>
          <w:i/>
          <w:sz w:val="10"/>
          <w:szCs w:val="12"/>
        </w:rPr>
      </w:pPr>
    </w:p>
    <w:p w:rsidR="005202A7" w:rsidRPr="00886CB6" w:rsidRDefault="005202A7" w:rsidP="0045514B">
      <w:pPr>
        <w:autoSpaceDE w:val="0"/>
        <w:autoSpaceDN w:val="0"/>
        <w:adjustRightInd w:val="0"/>
        <w:jc w:val="center"/>
        <w:rPr>
          <w:rFonts w:ascii="Century Gothic" w:hAnsi="Century Gothic" w:cs="Century Gothic"/>
          <w:b/>
          <w:bCs/>
          <w:sz w:val="10"/>
          <w:szCs w:val="12"/>
        </w:rPr>
      </w:pPr>
    </w:p>
    <w:p w:rsidR="0045514B" w:rsidRPr="00886CB6" w:rsidRDefault="0045514B" w:rsidP="0045514B">
      <w:pPr>
        <w:autoSpaceDE w:val="0"/>
        <w:autoSpaceDN w:val="0"/>
        <w:adjustRightInd w:val="0"/>
        <w:jc w:val="center"/>
        <w:rPr>
          <w:rFonts w:ascii="Century Gothic" w:hAnsi="Century Gothic" w:cs="Century Gothic"/>
          <w:b/>
          <w:bCs/>
          <w:i/>
          <w:sz w:val="10"/>
          <w:szCs w:val="12"/>
        </w:rPr>
      </w:pPr>
      <w:r w:rsidRPr="00886CB6">
        <w:rPr>
          <w:rFonts w:ascii="Century Gothic" w:hAnsi="Century Gothic" w:cs="Century Gothic"/>
          <w:b/>
          <w:bCs/>
          <w:sz w:val="10"/>
          <w:szCs w:val="12"/>
        </w:rPr>
        <w:t>RESUELVO:</w:t>
      </w:r>
    </w:p>
    <w:p w:rsidR="0045514B" w:rsidRPr="00886CB6" w:rsidRDefault="0045514B" w:rsidP="0045514B">
      <w:pPr>
        <w:autoSpaceDE w:val="0"/>
        <w:autoSpaceDN w:val="0"/>
        <w:adjustRightInd w:val="0"/>
        <w:jc w:val="center"/>
        <w:rPr>
          <w:rFonts w:ascii="Century Gothic" w:hAnsi="Century Gothic" w:cs="Century Gothic"/>
          <w:b/>
          <w:bCs/>
          <w:i/>
          <w:sz w:val="10"/>
          <w:szCs w:val="12"/>
        </w:rPr>
      </w:pPr>
    </w:p>
    <w:p w:rsidR="00A8582A" w:rsidRPr="00886CB6" w:rsidRDefault="00596EB5" w:rsidP="0045004E">
      <w:pPr>
        <w:autoSpaceDE w:val="0"/>
        <w:autoSpaceDN w:val="0"/>
        <w:adjustRightInd w:val="0"/>
        <w:jc w:val="both"/>
        <w:rPr>
          <w:rFonts w:ascii="Century Gothic" w:hAnsi="Century Gothic"/>
          <w:sz w:val="10"/>
          <w:szCs w:val="12"/>
        </w:rPr>
      </w:pPr>
      <w:r w:rsidRPr="00886CB6">
        <w:rPr>
          <w:rFonts w:ascii="Century Gothic" w:hAnsi="Century Gothic" w:cs="Century Gothic"/>
          <w:bCs/>
          <w:sz w:val="10"/>
          <w:szCs w:val="12"/>
        </w:rPr>
        <w:t>Autorizar a</w:t>
      </w:r>
      <w:r w:rsidR="00DF3B4E">
        <w:rPr>
          <w:rFonts w:ascii="Century Gothic" w:hAnsi="Century Gothic" w:cs="Century Gothic"/>
          <w:bCs/>
          <w:sz w:val="10"/>
          <w:szCs w:val="12"/>
        </w:rPr>
        <w:t xml:space="preserve">l </w:t>
      </w:r>
      <w:r w:rsidR="00DF3B4E">
        <w:rPr>
          <w:rFonts w:ascii="Century Gothic" w:eastAsia="Meiryo" w:hAnsi="Century Gothic" w:cs="Aparajita"/>
          <w:bCs/>
          <w:sz w:val="10"/>
          <w:szCs w:val="12"/>
          <w:lang w:val="es-ES"/>
        </w:rPr>
        <w:t xml:space="preserve">Sr. </w:t>
      </w:r>
      <w:r w:rsidR="00FB18E5" w:rsidRPr="00FB18E5">
        <w:rPr>
          <w:rFonts w:ascii="Century Gothic" w:eastAsia="Meiryo" w:hAnsi="Century Gothic" w:cs="Aparajita"/>
          <w:bCs/>
          <w:sz w:val="10"/>
          <w:szCs w:val="12"/>
        </w:rPr>
        <w:t>Mathews Alexander Montaño Vásquez</w:t>
      </w:r>
      <w:r w:rsidR="00A40EA2" w:rsidRPr="00886CB6">
        <w:rPr>
          <w:rFonts w:ascii="Century Gothic" w:eastAsia="Meiryo" w:hAnsi="Century Gothic" w:cs="Aparajita"/>
          <w:bCs/>
          <w:sz w:val="10"/>
          <w:szCs w:val="12"/>
          <w:lang w:val="es-ES"/>
        </w:rPr>
        <w:t>,</w:t>
      </w:r>
      <w:r w:rsidR="00914EF0">
        <w:rPr>
          <w:rFonts w:ascii="Century Gothic" w:eastAsia="Meiryo" w:hAnsi="Century Gothic" w:cs="Aparajita"/>
          <w:bCs/>
          <w:sz w:val="10"/>
          <w:szCs w:val="12"/>
          <w:lang w:val="es-ES"/>
        </w:rPr>
        <w:t xml:space="preserve"> graduad</w:t>
      </w:r>
      <w:r w:rsidR="00B46AF1">
        <w:rPr>
          <w:rFonts w:ascii="Century Gothic" w:eastAsia="Meiryo" w:hAnsi="Century Gothic" w:cs="Aparajita"/>
          <w:bCs/>
          <w:sz w:val="10"/>
          <w:szCs w:val="12"/>
          <w:lang w:val="es-ES"/>
        </w:rPr>
        <w:t xml:space="preserve">o </w:t>
      </w:r>
      <w:r w:rsidR="00914EF0">
        <w:rPr>
          <w:rFonts w:ascii="Century Gothic" w:eastAsia="Meiryo" w:hAnsi="Century Gothic" w:cs="Aparajita"/>
          <w:bCs/>
          <w:sz w:val="10"/>
          <w:szCs w:val="12"/>
          <w:lang w:val="es-ES"/>
        </w:rPr>
        <w:t xml:space="preserve">de la Carrera de </w:t>
      </w:r>
      <w:r w:rsidR="008C1D61">
        <w:rPr>
          <w:rFonts w:ascii="Century Gothic" w:eastAsia="Meiryo" w:hAnsi="Century Gothic" w:cs="Aparajita"/>
          <w:bCs/>
          <w:sz w:val="10"/>
          <w:szCs w:val="12"/>
          <w:lang w:val="es-ES"/>
        </w:rPr>
        <w:t xml:space="preserve">Ingeniería </w:t>
      </w:r>
      <w:r w:rsidR="00AD1DC6">
        <w:rPr>
          <w:rFonts w:ascii="Century Gothic" w:eastAsia="Meiryo" w:hAnsi="Century Gothic" w:cs="Aparajita"/>
          <w:bCs/>
          <w:sz w:val="10"/>
          <w:szCs w:val="12"/>
          <w:lang w:val="es-ES"/>
        </w:rPr>
        <w:t>Civil</w:t>
      </w:r>
      <w:r w:rsidR="0045004E">
        <w:rPr>
          <w:rFonts w:ascii="Century Gothic" w:eastAsia="Meiryo" w:hAnsi="Century Gothic" w:cs="Aparajita"/>
          <w:bCs/>
          <w:sz w:val="10"/>
          <w:szCs w:val="12"/>
          <w:lang w:val="es-ES"/>
        </w:rPr>
        <w:t xml:space="preserve"> </w:t>
      </w:r>
      <w:r w:rsidR="0045004E" w:rsidRPr="00886CB6">
        <w:rPr>
          <w:rFonts w:ascii="Century Gothic" w:eastAsia="Meiryo" w:hAnsi="Century Gothic" w:cs="Aparajita"/>
          <w:bCs/>
          <w:sz w:val="10"/>
          <w:szCs w:val="12"/>
        </w:rPr>
        <w:t>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w:t>
      </w:r>
    </w:p>
    <w:p w:rsidR="00A8582A" w:rsidRPr="00886CB6" w:rsidRDefault="00A8582A" w:rsidP="00AC4812">
      <w:pPr>
        <w:jc w:val="center"/>
        <w:rPr>
          <w:rFonts w:ascii="Century Gothic" w:hAnsi="Century Gothic"/>
          <w:sz w:val="10"/>
          <w:szCs w:val="12"/>
        </w:rPr>
      </w:pPr>
    </w:p>
    <w:p w:rsidR="006F2C0D" w:rsidRDefault="006F2C0D" w:rsidP="00AC4812">
      <w:pPr>
        <w:jc w:val="center"/>
        <w:rPr>
          <w:rFonts w:ascii="Century Gothic" w:hAnsi="Century Gothic"/>
          <w:sz w:val="10"/>
          <w:szCs w:val="12"/>
        </w:rPr>
      </w:pPr>
    </w:p>
    <w:p w:rsidR="00E03CD9" w:rsidRPr="00886CB6" w:rsidRDefault="00E03CD9" w:rsidP="00AC4812">
      <w:pPr>
        <w:jc w:val="center"/>
        <w:rPr>
          <w:rFonts w:ascii="Century Gothic" w:hAnsi="Century Gothic"/>
          <w:sz w:val="10"/>
          <w:szCs w:val="12"/>
        </w:rPr>
      </w:pPr>
      <w:r w:rsidRPr="00886CB6">
        <w:rPr>
          <w:rFonts w:ascii="Century Gothic" w:hAnsi="Century Gothic"/>
          <w:sz w:val="10"/>
          <w:szCs w:val="12"/>
        </w:rPr>
        <w:t xml:space="preserve">Dado y firmado en la ciudad de Riobamba el día </w:t>
      </w:r>
      <w:r w:rsidR="00FB18E5">
        <w:rPr>
          <w:rFonts w:ascii="Century Gothic" w:hAnsi="Century Gothic"/>
          <w:sz w:val="10"/>
          <w:szCs w:val="12"/>
        </w:rPr>
        <w:t>17</w:t>
      </w:r>
      <w:bookmarkStart w:id="0" w:name="_GoBack"/>
      <w:bookmarkEnd w:id="0"/>
      <w:r w:rsidR="00171F55">
        <w:rPr>
          <w:rFonts w:ascii="Century Gothic" w:hAnsi="Century Gothic"/>
          <w:sz w:val="10"/>
          <w:szCs w:val="12"/>
        </w:rPr>
        <w:t xml:space="preserve"> </w:t>
      </w:r>
      <w:r w:rsidRPr="00886CB6">
        <w:rPr>
          <w:rFonts w:ascii="Century Gothic" w:hAnsi="Century Gothic"/>
          <w:sz w:val="10"/>
          <w:szCs w:val="12"/>
        </w:rPr>
        <w:t xml:space="preserve">de </w:t>
      </w:r>
      <w:r w:rsidR="00B46AF1">
        <w:rPr>
          <w:rFonts w:ascii="Century Gothic" w:hAnsi="Century Gothic"/>
          <w:sz w:val="10"/>
          <w:szCs w:val="12"/>
        </w:rPr>
        <w:t>diciembre</w:t>
      </w:r>
      <w:r w:rsidRPr="00886CB6">
        <w:rPr>
          <w:rFonts w:ascii="Century Gothic" w:hAnsi="Century Gothic"/>
          <w:sz w:val="10"/>
          <w:szCs w:val="12"/>
        </w:rPr>
        <w:t xml:space="preserve"> de 2020.</w:t>
      </w:r>
    </w:p>
    <w:p w:rsidR="00852837" w:rsidRPr="00886CB6" w:rsidRDefault="00852837" w:rsidP="00AC4812">
      <w:pPr>
        <w:jc w:val="center"/>
        <w:rPr>
          <w:rFonts w:ascii="Century Gothic" w:hAnsi="Century Gothic"/>
          <w:i/>
          <w:sz w:val="10"/>
          <w:szCs w:val="12"/>
        </w:rPr>
      </w:pPr>
    </w:p>
    <w:p w:rsidR="00E03CD9" w:rsidRPr="00886CB6" w:rsidRDefault="00E03CD9" w:rsidP="00E03CD9">
      <w:pPr>
        <w:ind w:left="705" w:hanging="705"/>
        <w:jc w:val="center"/>
        <w:rPr>
          <w:rFonts w:ascii="Century Gothic" w:hAnsi="Century Gothic"/>
          <w:i/>
          <w:sz w:val="10"/>
          <w:szCs w:val="12"/>
        </w:rPr>
      </w:pPr>
    </w:p>
    <w:p w:rsidR="00E03CD9" w:rsidRPr="00886CB6" w:rsidRDefault="00E03CD9" w:rsidP="00E03CD9">
      <w:pPr>
        <w:ind w:left="705" w:hanging="705"/>
        <w:jc w:val="center"/>
        <w:rPr>
          <w:rFonts w:ascii="Century Gothic" w:hAnsi="Century Gothic"/>
          <w:i/>
          <w:sz w:val="10"/>
          <w:szCs w:val="12"/>
        </w:rPr>
      </w:pPr>
    </w:p>
    <w:p w:rsidR="00E03CD9" w:rsidRPr="00CB09BC" w:rsidRDefault="00CB09BC" w:rsidP="00E03CD9">
      <w:pPr>
        <w:contextualSpacing/>
        <w:jc w:val="center"/>
        <w:rPr>
          <w:rFonts w:ascii="Century Gothic" w:eastAsia="Calibri" w:hAnsi="Century Gothic"/>
          <w:b/>
          <w:i/>
          <w:sz w:val="10"/>
          <w:szCs w:val="12"/>
        </w:rPr>
      </w:pPr>
      <w:r>
        <w:rPr>
          <w:noProof/>
          <w:lang w:val="en-US"/>
        </w:rPr>
        <w:drawing>
          <wp:inline distT="0" distB="0" distL="0" distR="0" wp14:anchorId="4DC7169E" wp14:editId="69BB8A2E">
            <wp:extent cx="1228725" cy="4191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p w:rsidR="00E03CD9" w:rsidRPr="00886CB6" w:rsidRDefault="00E03CD9" w:rsidP="00E03CD9">
      <w:pPr>
        <w:contextualSpacing/>
        <w:jc w:val="center"/>
        <w:rPr>
          <w:rFonts w:ascii="Century Gothic" w:eastAsia="Calibri" w:hAnsi="Century Gothic"/>
          <w:b/>
          <w:i/>
          <w:sz w:val="10"/>
          <w:szCs w:val="12"/>
          <w:lang w:val="es-EC"/>
        </w:rPr>
      </w:pPr>
    </w:p>
    <w:p w:rsidR="00E03CD9" w:rsidRPr="00886CB6" w:rsidRDefault="00E03CD9" w:rsidP="00AC4812">
      <w:pPr>
        <w:contextualSpacing/>
        <w:jc w:val="center"/>
        <w:rPr>
          <w:rFonts w:ascii="Century Gothic" w:eastAsia="Calibri" w:hAnsi="Century Gothic"/>
          <w:b/>
          <w:i/>
          <w:sz w:val="10"/>
          <w:szCs w:val="12"/>
          <w:lang w:val="es-EC"/>
        </w:rPr>
      </w:pPr>
      <w:r w:rsidRPr="00886CB6">
        <w:rPr>
          <w:rFonts w:ascii="Century Gothic" w:eastAsia="Calibri" w:hAnsi="Century Gothic"/>
          <w:b/>
          <w:sz w:val="10"/>
          <w:szCs w:val="12"/>
          <w:lang w:val="es-EC"/>
        </w:rPr>
        <w:t>Ing. Edison Patricio Villacrés Cevallos, PhD.</w:t>
      </w:r>
    </w:p>
    <w:p w:rsidR="00E03CD9" w:rsidRPr="00886CB6" w:rsidRDefault="00E03CD9" w:rsidP="00E03CD9">
      <w:pPr>
        <w:autoSpaceDE w:val="0"/>
        <w:autoSpaceDN w:val="0"/>
        <w:adjustRightInd w:val="0"/>
        <w:jc w:val="center"/>
        <w:rPr>
          <w:rFonts w:ascii="Century Gothic" w:hAnsi="Century Gothic" w:cs="Century Gothic"/>
          <w:b/>
          <w:bCs/>
          <w:i/>
          <w:sz w:val="10"/>
          <w:szCs w:val="12"/>
        </w:rPr>
      </w:pPr>
      <w:r w:rsidRPr="00886CB6">
        <w:rPr>
          <w:rFonts w:ascii="Century Gothic" w:eastAsia="Calibri" w:hAnsi="Century Gothic"/>
          <w:b/>
          <w:sz w:val="10"/>
          <w:szCs w:val="12"/>
          <w:lang w:val="es-EC"/>
        </w:rPr>
        <w:t>DECANO DE LA FACULTAD DE INGENIERÍA</w:t>
      </w:r>
    </w:p>
    <w:p w:rsidR="00AF3C29" w:rsidRPr="00886CB6" w:rsidRDefault="00E03CD9" w:rsidP="00E03CD9">
      <w:pPr>
        <w:autoSpaceDE w:val="0"/>
        <w:autoSpaceDN w:val="0"/>
        <w:adjustRightInd w:val="0"/>
        <w:jc w:val="both"/>
        <w:rPr>
          <w:rFonts w:ascii="Century Gothic" w:hAnsi="Century Gothic" w:cs="Century Gothic"/>
          <w:b/>
          <w:bCs/>
          <w:i/>
          <w:sz w:val="10"/>
          <w:szCs w:val="12"/>
        </w:rPr>
      </w:pPr>
      <w:r w:rsidRPr="00886CB6">
        <w:rPr>
          <w:rFonts w:ascii="Century Gothic" w:hAnsi="Century Gothic" w:cs="Century Gothic"/>
          <w:b/>
          <w:bCs/>
          <w:sz w:val="10"/>
          <w:szCs w:val="12"/>
        </w:rPr>
        <w:t>C.c.      Archivo</w:t>
      </w:r>
    </w:p>
    <w:p w:rsidR="007026A6" w:rsidRPr="00886CB6" w:rsidRDefault="00E03CD9" w:rsidP="00AF3C29">
      <w:pPr>
        <w:autoSpaceDE w:val="0"/>
        <w:autoSpaceDN w:val="0"/>
        <w:adjustRightInd w:val="0"/>
        <w:jc w:val="both"/>
        <w:rPr>
          <w:rFonts w:ascii="Century Gothic" w:hAnsi="Century Gothic" w:cs="Century Gothic"/>
          <w:b/>
          <w:bCs/>
          <w:i/>
          <w:sz w:val="10"/>
          <w:szCs w:val="12"/>
        </w:rPr>
      </w:pPr>
      <w:r w:rsidRPr="00886CB6">
        <w:rPr>
          <w:rFonts w:ascii="Century Gothic" w:hAnsi="Century Gothic" w:cs="Century Gothic"/>
          <w:b/>
          <w:bCs/>
          <w:sz w:val="10"/>
          <w:szCs w:val="12"/>
        </w:rPr>
        <w:t>Elab:    Lic. Lorena Ortega</w:t>
      </w:r>
    </w:p>
    <w:sectPr w:rsidR="007026A6" w:rsidRPr="00886CB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CD" w:rsidRDefault="002949CD" w:rsidP="00714AF3">
      <w:r>
        <w:separator/>
      </w:r>
    </w:p>
  </w:endnote>
  <w:endnote w:type="continuationSeparator" w:id="0">
    <w:p w:rsidR="002949CD" w:rsidRDefault="002949CD" w:rsidP="0071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4F" w:rsidRDefault="00AC5C4F">
    <w:pPr>
      <w:pStyle w:val="Piedepgina"/>
    </w:pPr>
    <w:r>
      <w:rPr>
        <w:noProof/>
        <w:lang w:val="en-US"/>
      </w:rPr>
      <w:drawing>
        <wp:inline distT="0" distB="0" distL="0" distR="0" wp14:anchorId="25B983A9" wp14:editId="58FCAA03">
          <wp:extent cx="539115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CD" w:rsidRDefault="002949CD" w:rsidP="00714AF3">
      <w:r>
        <w:separator/>
      </w:r>
    </w:p>
  </w:footnote>
  <w:footnote w:type="continuationSeparator" w:id="0">
    <w:p w:rsidR="002949CD" w:rsidRDefault="002949CD" w:rsidP="00714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F3" w:rsidRDefault="00714AF3" w:rsidP="00714AF3">
    <w:pPr>
      <w:pStyle w:val="Encabezado"/>
      <w:jc w:val="center"/>
    </w:pPr>
    <w:r>
      <w:rPr>
        <w:noProof/>
        <w:lang w:val="en-US"/>
      </w:rPr>
      <w:drawing>
        <wp:anchor distT="0" distB="0" distL="114300" distR="114300" simplePos="0" relativeHeight="251658240" behindDoc="0" locked="0" layoutInCell="1" allowOverlap="1">
          <wp:simplePos x="0" y="0"/>
          <wp:positionH relativeFrom="column">
            <wp:posOffset>-817499</wp:posOffset>
          </wp:positionH>
          <wp:positionV relativeFrom="paragraph">
            <wp:posOffset>-577850</wp:posOffset>
          </wp:positionV>
          <wp:extent cx="7230745" cy="100012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1F1D"/>
    <w:multiLevelType w:val="hybridMultilevel"/>
    <w:tmpl w:val="B1A0DCA0"/>
    <w:lvl w:ilvl="0" w:tplc="D318C5C6">
      <w:start w:val="1"/>
      <w:numFmt w:val="decimal"/>
      <w:lvlText w:val="%1."/>
      <w:lvlJc w:val="left"/>
      <w:pPr>
        <w:ind w:left="720" w:hanging="360"/>
      </w:pPr>
    </w:lvl>
    <w:lvl w:ilvl="1" w:tplc="B4861B6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93267"/>
    <w:multiLevelType w:val="hybridMultilevel"/>
    <w:tmpl w:val="41D4C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3A2CBC"/>
    <w:multiLevelType w:val="hybridMultilevel"/>
    <w:tmpl w:val="ECCE1D04"/>
    <w:lvl w:ilvl="0" w:tplc="0C0A0001">
      <w:start w:val="1"/>
      <w:numFmt w:val="bullet"/>
      <w:lvlText w:val=""/>
      <w:lvlJc w:val="left"/>
      <w:pPr>
        <w:ind w:left="644" w:hanging="360"/>
      </w:pPr>
      <w:rPr>
        <w:rFonts w:ascii="Symbol" w:hAnsi="Symbol" w:hint="default"/>
        <w:b w:val="0"/>
        <w:sz w:val="20"/>
        <w:szCs w:val="22"/>
      </w:rPr>
    </w:lvl>
    <w:lvl w:ilvl="1" w:tplc="0C0A0017">
      <w:start w:val="1"/>
      <w:numFmt w:val="lowerLetter"/>
      <w:lvlText w:val="%2)"/>
      <w:lvlJc w:val="left"/>
      <w:pPr>
        <w:ind w:left="1440" w:hanging="360"/>
      </w:pPr>
      <w:rPr>
        <w:rFonts w:hint="default"/>
      </w:rPr>
    </w:lvl>
    <w:lvl w:ilvl="2" w:tplc="0C0A000F">
      <w:start w:val="1"/>
      <w:numFmt w:val="decimal"/>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5544DD"/>
    <w:multiLevelType w:val="hybridMultilevel"/>
    <w:tmpl w:val="D73CC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6D4C7A"/>
    <w:multiLevelType w:val="hybridMultilevel"/>
    <w:tmpl w:val="74707FA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F3"/>
    <w:rsid w:val="000174C8"/>
    <w:rsid w:val="00037464"/>
    <w:rsid w:val="0005119B"/>
    <w:rsid w:val="00091196"/>
    <w:rsid w:val="0009376C"/>
    <w:rsid w:val="000A32FA"/>
    <w:rsid w:val="00102668"/>
    <w:rsid w:val="001050FA"/>
    <w:rsid w:val="00120BEA"/>
    <w:rsid w:val="001237E0"/>
    <w:rsid w:val="00124836"/>
    <w:rsid w:val="00171F55"/>
    <w:rsid w:val="00192061"/>
    <w:rsid w:val="001D005B"/>
    <w:rsid w:val="0022453B"/>
    <w:rsid w:val="002569FB"/>
    <w:rsid w:val="002949CD"/>
    <w:rsid w:val="002D190B"/>
    <w:rsid w:val="0031115B"/>
    <w:rsid w:val="003A2B02"/>
    <w:rsid w:val="00414068"/>
    <w:rsid w:val="0042058E"/>
    <w:rsid w:val="0044244C"/>
    <w:rsid w:val="0044510E"/>
    <w:rsid w:val="0045004E"/>
    <w:rsid w:val="00450833"/>
    <w:rsid w:val="00451E3A"/>
    <w:rsid w:val="00453C19"/>
    <w:rsid w:val="0045514B"/>
    <w:rsid w:val="0048670E"/>
    <w:rsid w:val="004E09DF"/>
    <w:rsid w:val="005202A7"/>
    <w:rsid w:val="00596EB5"/>
    <w:rsid w:val="006B61E8"/>
    <w:rsid w:val="006B79F2"/>
    <w:rsid w:val="006C4290"/>
    <w:rsid w:val="006E6E8A"/>
    <w:rsid w:val="006F2C0D"/>
    <w:rsid w:val="00701A38"/>
    <w:rsid w:val="007026A6"/>
    <w:rsid w:val="00714AF3"/>
    <w:rsid w:val="00741636"/>
    <w:rsid w:val="00751C18"/>
    <w:rsid w:val="0075679C"/>
    <w:rsid w:val="00765CFE"/>
    <w:rsid w:val="007D1B88"/>
    <w:rsid w:val="00814190"/>
    <w:rsid w:val="00852837"/>
    <w:rsid w:val="00867A56"/>
    <w:rsid w:val="00875CF6"/>
    <w:rsid w:val="00886CB6"/>
    <w:rsid w:val="008C1D61"/>
    <w:rsid w:val="008F49DD"/>
    <w:rsid w:val="008F6279"/>
    <w:rsid w:val="009105D1"/>
    <w:rsid w:val="00914EF0"/>
    <w:rsid w:val="00942F86"/>
    <w:rsid w:val="009619C0"/>
    <w:rsid w:val="00965E17"/>
    <w:rsid w:val="00A07DCC"/>
    <w:rsid w:val="00A40EA2"/>
    <w:rsid w:val="00A62FC6"/>
    <w:rsid w:val="00A8582A"/>
    <w:rsid w:val="00A934EE"/>
    <w:rsid w:val="00AC4812"/>
    <w:rsid w:val="00AC5C4F"/>
    <w:rsid w:val="00AD1DC6"/>
    <w:rsid w:val="00AE7D7E"/>
    <w:rsid w:val="00AF3C29"/>
    <w:rsid w:val="00B05317"/>
    <w:rsid w:val="00B4431C"/>
    <w:rsid w:val="00B46AF1"/>
    <w:rsid w:val="00B50EE2"/>
    <w:rsid w:val="00B608FE"/>
    <w:rsid w:val="00B7200B"/>
    <w:rsid w:val="00B76D96"/>
    <w:rsid w:val="00B85509"/>
    <w:rsid w:val="00BC358B"/>
    <w:rsid w:val="00BD0B29"/>
    <w:rsid w:val="00BF1AFD"/>
    <w:rsid w:val="00C22125"/>
    <w:rsid w:val="00C44748"/>
    <w:rsid w:val="00C91C90"/>
    <w:rsid w:val="00C93585"/>
    <w:rsid w:val="00CA29E6"/>
    <w:rsid w:val="00CA4C90"/>
    <w:rsid w:val="00CB09BC"/>
    <w:rsid w:val="00CB42DB"/>
    <w:rsid w:val="00CB4E8B"/>
    <w:rsid w:val="00CD56A7"/>
    <w:rsid w:val="00D00C64"/>
    <w:rsid w:val="00D60B52"/>
    <w:rsid w:val="00D93B18"/>
    <w:rsid w:val="00DD3F2C"/>
    <w:rsid w:val="00DF3B4E"/>
    <w:rsid w:val="00E03CD9"/>
    <w:rsid w:val="00E05F59"/>
    <w:rsid w:val="00E511C1"/>
    <w:rsid w:val="00E977B3"/>
    <w:rsid w:val="00EB6E2C"/>
    <w:rsid w:val="00EC099B"/>
    <w:rsid w:val="00EC156B"/>
    <w:rsid w:val="00ED665A"/>
    <w:rsid w:val="00F15D57"/>
    <w:rsid w:val="00F377EF"/>
    <w:rsid w:val="00F85D69"/>
    <w:rsid w:val="00FB18E5"/>
    <w:rsid w:val="00FB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1110E"/>
  <w15:docId w15:val="{45AD7661-7F39-4B03-958E-CDBB0C2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F3"/>
    <w:pPr>
      <w:spacing w:after="0" w:line="240" w:lineRule="auto"/>
    </w:pPr>
    <w:rPr>
      <w:sz w:val="24"/>
      <w:szCs w:val="24"/>
      <w:lang w:val="es-ES_tradnl"/>
    </w:rPr>
  </w:style>
  <w:style w:type="paragraph" w:styleId="Ttulo5">
    <w:name w:val="heading 5"/>
    <w:aliases w:val="Artículos"/>
    <w:basedOn w:val="Normal"/>
    <w:next w:val="Normal"/>
    <w:link w:val="Ttulo5Car"/>
    <w:uiPriority w:val="99"/>
    <w:unhideWhenUsed/>
    <w:qFormat/>
    <w:rsid w:val="00714AF3"/>
    <w:pPr>
      <w:keepNext/>
      <w:keepLines/>
      <w:widowControl w:val="0"/>
      <w:autoSpaceDE w:val="0"/>
      <w:autoSpaceDN w:val="0"/>
      <w:spacing w:before="40"/>
      <w:outlineLvl w:val="4"/>
    </w:pPr>
    <w:rPr>
      <w:rFonts w:ascii="Arial" w:eastAsiaTheme="majorEastAsia" w:hAnsi="Arial" w:cstheme="majorBidi"/>
      <w:color w:val="000000" w:themeColor="text1"/>
      <w:szCs w:val="22"/>
      <w:lang w:val="es-EC" w:eastAsia="es-EC" w:bidi="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Artículos Car"/>
    <w:basedOn w:val="Fuentedeprrafopredeter"/>
    <w:link w:val="Ttulo5"/>
    <w:uiPriority w:val="99"/>
    <w:rsid w:val="00714AF3"/>
    <w:rPr>
      <w:rFonts w:ascii="Arial" w:eastAsiaTheme="majorEastAsia" w:hAnsi="Arial" w:cstheme="majorBidi"/>
      <w:color w:val="000000" w:themeColor="text1"/>
      <w:sz w:val="24"/>
      <w:lang w:val="es-EC" w:eastAsia="es-EC" w:bidi="es-EC"/>
    </w:rPr>
  </w:style>
  <w:style w:type="paragraph" w:styleId="Prrafodelista">
    <w:name w:val="List Paragraph"/>
    <w:basedOn w:val="Normal"/>
    <w:uiPriority w:val="34"/>
    <w:qFormat/>
    <w:rsid w:val="00714AF3"/>
    <w:pPr>
      <w:ind w:left="720"/>
      <w:contextualSpacing/>
    </w:pPr>
    <w:rPr>
      <w:rFonts w:ascii="Bookman Old Style" w:eastAsia="Times New Roman" w:hAnsi="Bookman Old Style" w:cs="Times New Roman"/>
      <w:i/>
      <w:sz w:val="20"/>
      <w:szCs w:val="20"/>
      <w:lang w:val="es-ES" w:eastAsia="es-ES"/>
    </w:rPr>
  </w:style>
  <w:style w:type="paragraph" w:styleId="Lista">
    <w:name w:val="List"/>
    <w:basedOn w:val="Normal"/>
    <w:uiPriority w:val="99"/>
    <w:unhideWhenUsed/>
    <w:rsid w:val="00714AF3"/>
    <w:pPr>
      <w:ind w:left="283" w:hanging="283"/>
      <w:contextualSpacing/>
    </w:pPr>
    <w:rPr>
      <w:rFonts w:ascii="Bookman Old Style" w:eastAsia="Times New Roman" w:hAnsi="Bookman Old Style" w:cs="Times New Roman"/>
      <w:i/>
      <w:sz w:val="20"/>
      <w:szCs w:val="20"/>
      <w:lang w:val="es-ES" w:eastAsia="es-ES"/>
    </w:rPr>
  </w:style>
  <w:style w:type="paragraph" w:styleId="Sinespaciado">
    <w:name w:val="No Spacing"/>
    <w:uiPriority w:val="1"/>
    <w:qFormat/>
    <w:rsid w:val="00714AF3"/>
    <w:pPr>
      <w:spacing w:after="0" w:line="240" w:lineRule="auto"/>
    </w:pPr>
    <w:rPr>
      <w:rFonts w:ascii="Bookman Old Style" w:eastAsia="Times New Roman" w:hAnsi="Bookman Old Style" w:cs="Times New Roman"/>
      <w:i/>
      <w:sz w:val="20"/>
      <w:szCs w:val="20"/>
      <w:lang w:eastAsia="es-ES"/>
    </w:rPr>
  </w:style>
  <w:style w:type="table" w:customStyle="1" w:styleId="Tablaconcuadrcula2">
    <w:name w:val="Tabla con cuadrícula2"/>
    <w:basedOn w:val="Tablanormal"/>
    <w:next w:val="Tablaconcuadrcula"/>
    <w:uiPriority w:val="59"/>
    <w:rsid w:val="00714AF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1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4AF3"/>
    <w:pPr>
      <w:tabs>
        <w:tab w:val="center" w:pos="4252"/>
        <w:tab w:val="right" w:pos="8504"/>
      </w:tabs>
    </w:pPr>
  </w:style>
  <w:style w:type="character" w:customStyle="1" w:styleId="EncabezadoCar">
    <w:name w:val="Encabezado Car"/>
    <w:basedOn w:val="Fuentedeprrafopredeter"/>
    <w:link w:val="Encabezado"/>
    <w:uiPriority w:val="99"/>
    <w:rsid w:val="00714AF3"/>
    <w:rPr>
      <w:sz w:val="24"/>
      <w:szCs w:val="24"/>
      <w:lang w:val="es-ES_tradnl"/>
    </w:rPr>
  </w:style>
  <w:style w:type="paragraph" w:styleId="Piedepgina">
    <w:name w:val="footer"/>
    <w:basedOn w:val="Normal"/>
    <w:link w:val="PiedepginaCar"/>
    <w:uiPriority w:val="99"/>
    <w:unhideWhenUsed/>
    <w:rsid w:val="00714AF3"/>
    <w:pPr>
      <w:tabs>
        <w:tab w:val="center" w:pos="4252"/>
        <w:tab w:val="right" w:pos="8504"/>
      </w:tabs>
    </w:pPr>
  </w:style>
  <w:style w:type="character" w:customStyle="1" w:styleId="PiedepginaCar">
    <w:name w:val="Pie de página Car"/>
    <w:basedOn w:val="Fuentedeprrafopredeter"/>
    <w:link w:val="Piedepgina"/>
    <w:uiPriority w:val="99"/>
    <w:rsid w:val="00714AF3"/>
    <w:rPr>
      <w:sz w:val="24"/>
      <w:szCs w:val="24"/>
      <w:lang w:val="es-ES_tradnl"/>
    </w:rPr>
  </w:style>
  <w:style w:type="paragraph" w:styleId="Textodeglobo">
    <w:name w:val="Balloon Text"/>
    <w:basedOn w:val="Normal"/>
    <w:link w:val="TextodegloboCar"/>
    <w:uiPriority w:val="99"/>
    <w:semiHidden/>
    <w:unhideWhenUsed/>
    <w:rsid w:val="00714AF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F3"/>
    <w:rPr>
      <w:rFonts w:ascii="Tahoma" w:hAnsi="Tahoma" w:cs="Tahoma"/>
      <w:sz w:val="16"/>
      <w:szCs w:val="16"/>
      <w:lang w:val="es-ES_tradnl"/>
    </w:rPr>
  </w:style>
  <w:style w:type="paragraph" w:customStyle="1" w:styleId="xmsonormal">
    <w:name w:val="x_msonormal"/>
    <w:basedOn w:val="Normal"/>
    <w:rsid w:val="00E05F59"/>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C77D-8941-4291-9B6A-C5312A6B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1064</Words>
  <Characters>6002</Characters>
  <Application>Microsoft Office Word</Application>
  <DocSecurity>0</DocSecurity>
  <Lines>105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Ortega</dc:creator>
  <cp:lastModifiedBy>DELL</cp:lastModifiedBy>
  <cp:revision>43</cp:revision>
  <dcterms:created xsi:type="dcterms:W3CDTF">2020-04-23T01:44:00Z</dcterms:created>
  <dcterms:modified xsi:type="dcterms:W3CDTF">2020-12-18T00:38:00Z</dcterms:modified>
</cp:coreProperties>
</file>